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A41" w:rsidRDefault="00173A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5CA9C" wp14:editId="79BABD67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173A41" w:rsidRDefault="00173A4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5CA9C" wp14:editId="79BABD67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>
        <w:rPr>
          <w:rFonts w:cs="Arial"/>
          <w:b/>
          <w:bCs/>
        </w:rPr>
        <w:t>City Executive Board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F9486E">
        <w:rPr>
          <w:rFonts w:cs="Arial"/>
          <w:b/>
          <w:bCs/>
        </w:rPr>
        <w:t>11 June 2015</w:t>
      </w:r>
      <w:r>
        <w:rPr>
          <w:rFonts w:cs="Arial"/>
          <w:b/>
          <w:bCs/>
        </w:rPr>
        <w:tab/>
      </w:r>
      <w:bookmarkStart w:id="0" w:name="_GoBack"/>
      <w:bookmarkEnd w:id="0"/>
      <w:r>
        <w:rPr>
          <w:rFonts w:cs="Arial"/>
          <w:b/>
          <w:bCs/>
        </w:rPr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 w:rsidP="000E3983">
      <w:pPr>
        <w:ind w:left="2160" w:hanging="2160"/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  <w:t xml:space="preserve">Head of </w:t>
      </w:r>
      <w:r w:rsidR="000B07B3">
        <w:rPr>
          <w:rFonts w:cs="Arial"/>
          <w:b/>
          <w:bCs/>
        </w:rPr>
        <w:t xml:space="preserve">Business Improvement 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r w:rsidR="000B07B3">
        <w:rPr>
          <w:rFonts w:cs="Arial"/>
          <w:b/>
          <w:bCs/>
        </w:rPr>
        <w:t>ICT Strategy 2015</w:t>
      </w:r>
      <w:r w:rsidR="000E3983">
        <w:rPr>
          <w:rFonts w:cs="Arial"/>
          <w:b/>
          <w:bCs/>
        </w:rPr>
        <w:t xml:space="preserve"> </w:t>
      </w:r>
      <w:r w:rsidR="000B07B3">
        <w:rPr>
          <w:rFonts w:cs="Arial"/>
          <w:b/>
          <w:bCs/>
        </w:rPr>
        <w:t>-</w:t>
      </w:r>
      <w:r w:rsidR="000E3983">
        <w:rPr>
          <w:rFonts w:cs="Arial"/>
          <w:b/>
          <w:bCs/>
        </w:rPr>
        <w:t xml:space="preserve"> </w:t>
      </w:r>
      <w:r w:rsidR="000B07B3">
        <w:rPr>
          <w:rFonts w:cs="Arial"/>
          <w:b/>
          <w:bCs/>
        </w:rPr>
        <w:t>2018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Pr="004137C5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4137C5">
        <w:rPr>
          <w:u w:val="single"/>
        </w:rPr>
        <w:t>Summary and Recommendations</w:t>
      </w:r>
    </w:p>
    <w:p w:rsidR="00F4367A" w:rsidRPr="004137C5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Pr="00854774" w:rsidRDefault="00F4367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137C5">
        <w:rPr>
          <w:rFonts w:cs="Arial"/>
          <w:b/>
          <w:bCs/>
        </w:rPr>
        <w:t>Purpose of report</w:t>
      </w:r>
      <w:r w:rsidRPr="004137C5">
        <w:rPr>
          <w:rFonts w:cs="Arial"/>
        </w:rPr>
        <w:t xml:space="preserve">:  </w:t>
      </w:r>
      <w:r w:rsidR="00D078B8" w:rsidRPr="00854774">
        <w:rPr>
          <w:rFonts w:cs="Arial"/>
        </w:rPr>
        <w:t xml:space="preserve">To seek approval for </w:t>
      </w:r>
      <w:r w:rsidR="00F9486E" w:rsidRPr="00854774">
        <w:rPr>
          <w:rFonts w:cs="Arial"/>
        </w:rPr>
        <w:t xml:space="preserve">a </w:t>
      </w:r>
      <w:r w:rsidR="00D078B8" w:rsidRPr="00854774">
        <w:rPr>
          <w:rFonts w:cs="Arial"/>
        </w:rPr>
        <w:t>new ICT Strategy</w:t>
      </w:r>
      <w:r w:rsidR="00F9486E" w:rsidRPr="00854774">
        <w:rPr>
          <w:rFonts w:cs="Arial"/>
        </w:rPr>
        <w:t xml:space="preserve"> and </w:t>
      </w:r>
      <w:proofErr w:type="spellStart"/>
      <w:proofErr w:type="gramStart"/>
      <w:r w:rsidR="00F9486E" w:rsidRPr="00854774">
        <w:rPr>
          <w:rFonts w:cs="Arial"/>
        </w:rPr>
        <w:t>it’s</w:t>
      </w:r>
      <w:proofErr w:type="spellEnd"/>
      <w:proofErr w:type="gramEnd"/>
      <w:r w:rsidR="00F9486E" w:rsidRPr="00854774">
        <w:rPr>
          <w:rFonts w:cs="Arial"/>
        </w:rPr>
        <w:t xml:space="preserve"> </w:t>
      </w:r>
      <w:r w:rsidR="00B8612A" w:rsidRPr="00854774">
        <w:rPr>
          <w:rFonts w:cs="Arial"/>
        </w:rPr>
        <w:t xml:space="preserve">      </w:t>
      </w:r>
      <w:r w:rsidR="00F9486E" w:rsidRPr="00854774">
        <w:rPr>
          <w:rFonts w:cs="Arial"/>
        </w:rPr>
        <w:t>implementation.</w:t>
      </w:r>
      <w:r w:rsidR="00D078B8" w:rsidRPr="00854774">
        <w:rPr>
          <w:rFonts w:cs="Arial"/>
        </w:rPr>
        <w:t xml:space="preserve"> </w:t>
      </w:r>
    </w:p>
    <w:p w:rsidR="00F4367A" w:rsidRPr="004137C5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137C5">
        <w:rPr>
          <w:rFonts w:cs="Arial"/>
        </w:rPr>
        <w:tab/>
      </w:r>
      <w:r w:rsidRPr="004137C5">
        <w:rPr>
          <w:rFonts w:cs="Arial"/>
        </w:rPr>
        <w:tab/>
      </w:r>
      <w:r w:rsidRPr="004137C5">
        <w:rPr>
          <w:rFonts w:cs="Arial"/>
        </w:rPr>
        <w:tab/>
      </w:r>
      <w:r w:rsidRPr="004137C5">
        <w:rPr>
          <w:rFonts w:cs="Arial"/>
        </w:rPr>
        <w:tab/>
      </w:r>
      <w:r w:rsidRPr="004137C5">
        <w:rPr>
          <w:rFonts w:cs="Arial"/>
        </w:rPr>
        <w:tab/>
      </w:r>
      <w:r w:rsidRPr="004137C5">
        <w:rPr>
          <w:rFonts w:cs="Arial"/>
        </w:rPr>
        <w:tab/>
      </w:r>
      <w:r w:rsidRPr="004137C5">
        <w:rPr>
          <w:rFonts w:cs="Arial"/>
        </w:rPr>
        <w:tab/>
      </w:r>
      <w:r w:rsidRPr="004137C5">
        <w:rPr>
          <w:rFonts w:cs="Arial"/>
        </w:rPr>
        <w:tab/>
      </w:r>
      <w:r w:rsidRPr="004137C5">
        <w:rPr>
          <w:rFonts w:cs="Arial"/>
        </w:rPr>
        <w:tab/>
      </w:r>
    </w:p>
    <w:p w:rsidR="00F4367A" w:rsidRPr="004137C5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 w:rsidRPr="004137C5">
        <w:rPr>
          <w:bCs w:val="0"/>
        </w:rPr>
        <w:t>Key decision</w:t>
      </w:r>
      <w:r w:rsidR="00B8612A" w:rsidRPr="004137C5">
        <w:rPr>
          <w:bCs w:val="0"/>
        </w:rPr>
        <w:t>:</w:t>
      </w:r>
      <w:r w:rsidRPr="004137C5">
        <w:rPr>
          <w:bCs w:val="0"/>
          <w:i/>
        </w:rPr>
        <w:t xml:space="preserve"> </w:t>
      </w:r>
      <w:r w:rsidRPr="00854774">
        <w:rPr>
          <w:b w:val="0"/>
          <w:bCs w:val="0"/>
        </w:rPr>
        <w:t xml:space="preserve">Yes </w:t>
      </w:r>
    </w:p>
    <w:p w:rsidR="00F4367A" w:rsidRPr="004137C5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Pr="004137C5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4137C5">
        <w:rPr>
          <w:rFonts w:cs="Arial"/>
          <w:b/>
          <w:bCs/>
        </w:rPr>
        <w:t xml:space="preserve">Executive lead member: </w:t>
      </w:r>
      <w:r w:rsidR="00D078B8" w:rsidRPr="00854774">
        <w:rPr>
          <w:rFonts w:cs="Arial"/>
          <w:bCs/>
        </w:rPr>
        <w:t xml:space="preserve">Councillor </w:t>
      </w:r>
      <w:r w:rsidR="00B8612A" w:rsidRPr="00854774">
        <w:rPr>
          <w:rFonts w:cs="Arial"/>
          <w:bCs/>
        </w:rPr>
        <w:t>Brown, Executive</w:t>
      </w:r>
      <w:r w:rsidR="00854774">
        <w:rPr>
          <w:rFonts w:cs="Arial"/>
          <w:bCs/>
        </w:rPr>
        <w:t xml:space="preserve"> Board</w:t>
      </w:r>
      <w:r w:rsidR="00B8612A" w:rsidRPr="00854774">
        <w:rPr>
          <w:rFonts w:cs="Arial"/>
          <w:bCs/>
        </w:rPr>
        <w:t xml:space="preserve"> </w:t>
      </w:r>
      <w:r w:rsidR="00854774">
        <w:rPr>
          <w:rFonts w:cs="Arial"/>
          <w:bCs/>
        </w:rPr>
        <w:t xml:space="preserve">Member for </w:t>
      </w:r>
      <w:r w:rsidR="00B8612A" w:rsidRPr="00854774">
        <w:rPr>
          <w:rFonts w:cs="Arial"/>
          <w:bCs/>
        </w:rPr>
        <w:t>Customer and Corporate Services</w:t>
      </w:r>
    </w:p>
    <w:p w:rsidR="00F4367A" w:rsidRPr="004137C5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Pr="004137C5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4137C5">
        <w:rPr>
          <w:rFonts w:cs="Arial"/>
          <w:b/>
          <w:bCs/>
        </w:rPr>
        <w:t>Policy Framework:</w:t>
      </w:r>
      <w:r w:rsidRPr="00854774">
        <w:rPr>
          <w:rFonts w:cs="Arial"/>
          <w:bCs/>
        </w:rPr>
        <w:t xml:space="preserve"> </w:t>
      </w:r>
      <w:r w:rsidR="00B8612A" w:rsidRPr="00854774">
        <w:rPr>
          <w:rFonts w:cs="Arial"/>
          <w:bCs/>
        </w:rPr>
        <w:t>None</w:t>
      </w:r>
    </w:p>
    <w:p w:rsidR="00F4367A" w:rsidRPr="004137C5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Pr="004137C5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r w:rsidRPr="004137C5">
        <w:rPr>
          <w:rFonts w:cs="Arial"/>
          <w:b/>
        </w:rPr>
        <w:t xml:space="preserve">Recommendation: </w:t>
      </w:r>
      <w:r w:rsidR="00D078B8" w:rsidRPr="00854774">
        <w:rPr>
          <w:rFonts w:cs="Arial"/>
        </w:rPr>
        <w:t>Th</w:t>
      </w:r>
      <w:r w:rsidR="00B8612A" w:rsidRPr="00854774">
        <w:rPr>
          <w:rFonts w:cs="Arial"/>
        </w:rPr>
        <w:t>at the City Executive Board approves th</w:t>
      </w:r>
      <w:r w:rsidR="00D078B8" w:rsidRPr="00854774">
        <w:rPr>
          <w:rFonts w:cs="Arial"/>
        </w:rPr>
        <w:t>e new ICT Strategy 2015 – 2018</w:t>
      </w:r>
      <w:r w:rsidR="00B8612A" w:rsidRPr="00854774">
        <w:rPr>
          <w:rFonts w:cs="Arial"/>
        </w:rPr>
        <w:t>.</w:t>
      </w:r>
      <w:r w:rsidR="00D078B8" w:rsidRPr="004137C5">
        <w:rPr>
          <w:rFonts w:cs="Arial"/>
          <w:b/>
        </w:rPr>
        <w:t xml:space="preserve">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F4367A" w:rsidRDefault="00F4367A">
      <w:pPr>
        <w:rPr>
          <w:rFonts w:cs="Arial"/>
        </w:rPr>
      </w:pPr>
    </w:p>
    <w:p w:rsidR="00D078B8" w:rsidRDefault="00713675">
      <w:pPr>
        <w:rPr>
          <w:rFonts w:cs="Arial"/>
          <w:b/>
        </w:rPr>
      </w:pPr>
      <w:r w:rsidRPr="007B6E54">
        <w:rPr>
          <w:rFonts w:cs="Arial"/>
          <w:b/>
        </w:rPr>
        <w:t>Appendices</w:t>
      </w:r>
      <w:r w:rsidR="00D078B8">
        <w:rPr>
          <w:rFonts w:cs="Arial"/>
          <w:b/>
        </w:rPr>
        <w:t xml:space="preserve"> attached </w:t>
      </w:r>
    </w:p>
    <w:p w:rsidR="00713675" w:rsidRDefault="00D078B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D078B8" w:rsidRPr="00854774" w:rsidRDefault="00D078B8">
      <w:pPr>
        <w:rPr>
          <w:rFonts w:cs="Arial"/>
        </w:rPr>
      </w:pPr>
      <w:r w:rsidRPr="00854774">
        <w:rPr>
          <w:rFonts w:cs="Arial"/>
        </w:rPr>
        <w:t>Appendix 1 – ICT Strategy 2015-2018</w:t>
      </w:r>
    </w:p>
    <w:p w:rsidR="00713675" w:rsidRPr="00854774" w:rsidRDefault="007B6E54">
      <w:pPr>
        <w:rPr>
          <w:rFonts w:cs="Arial"/>
        </w:rPr>
      </w:pPr>
      <w:r w:rsidRPr="00854774">
        <w:rPr>
          <w:rFonts w:cs="Arial"/>
        </w:rPr>
        <w:t xml:space="preserve">Appendix </w:t>
      </w:r>
      <w:r w:rsidR="00D078B8" w:rsidRPr="00854774">
        <w:rPr>
          <w:rFonts w:cs="Arial"/>
        </w:rPr>
        <w:t xml:space="preserve">2 </w:t>
      </w:r>
      <w:r w:rsidR="000E3983" w:rsidRPr="00854774">
        <w:rPr>
          <w:rFonts w:cs="Arial"/>
        </w:rPr>
        <w:t>–</w:t>
      </w:r>
      <w:r w:rsidRPr="00854774">
        <w:rPr>
          <w:rFonts w:cs="Arial"/>
        </w:rPr>
        <w:t xml:space="preserve"> Risk Register</w:t>
      </w:r>
    </w:p>
    <w:p w:rsidR="006E3B55" w:rsidRDefault="006E3B55">
      <w:pPr>
        <w:rPr>
          <w:rFonts w:cs="Arial"/>
          <w:b/>
        </w:rPr>
      </w:pPr>
    </w:p>
    <w:p w:rsidR="00173A41" w:rsidRDefault="00173A41" w:rsidP="00965670">
      <w:pPr>
        <w:pStyle w:val="ListParagraph"/>
        <w:numPr>
          <w:ilvl w:val="0"/>
          <w:numId w:val="4"/>
        </w:numPr>
        <w:ind w:left="567" w:hanging="567"/>
        <w:rPr>
          <w:rFonts w:cs="Arial"/>
          <w:b/>
        </w:rPr>
      </w:pPr>
      <w:r w:rsidRPr="00965670">
        <w:rPr>
          <w:rFonts w:cs="Arial"/>
          <w:b/>
        </w:rPr>
        <w:t>Summary</w:t>
      </w:r>
    </w:p>
    <w:p w:rsidR="000E3983" w:rsidRPr="000E3983" w:rsidRDefault="000E3983" w:rsidP="000E3983">
      <w:pPr>
        <w:rPr>
          <w:rFonts w:cs="Arial"/>
          <w:b/>
        </w:rPr>
      </w:pPr>
    </w:p>
    <w:p w:rsidR="00173A41" w:rsidRPr="00173A41" w:rsidRDefault="00173A41" w:rsidP="00965670">
      <w:pPr>
        <w:ind w:left="567"/>
        <w:rPr>
          <w:rFonts w:cs="Arial"/>
        </w:rPr>
      </w:pPr>
      <w:r w:rsidRPr="00173A41">
        <w:rPr>
          <w:rFonts w:cs="Arial"/>
        </w:rPr>
        <w:t>Th</w:t>
      </w:r>
      <w:r w:rsidR="007B7E94">
        <w:rPr>
          <w:rFonts w:cs="Arial"/>
        </w:rPr>
        <w:t>e new ICT</w:t>
      </w:r>
      <w:r w:rsidRPr="00173A41">
        <w:rPr>
          <w:rFonts w:cs="Arial"/>
        </w:rPr>
        <w:t xml:space="preserve"> </w:t>
      </w:r>
      <w:r w:rsidR="007B7E94">
        <w:rPr>
          <w:rFonts w:cs="Arial"/>
        </w:rPr>
        <w:t>strategy</w:t>
      </w:r>
      <w:r w:rsidRPr="00173A41">
        <w:rPr>
          <w:rFonts w:cs="Arial"/>
        </w:rPr>
        <w:t xml:space="preserve"> provides </w:t>
      </w:r>
      <w:r w:rsidR="00F9486E">
        <w:rPr>
          <w:rFonts w:cs="Arial"/>
        </w:rPr>
        <w:t xml:space="preserve">the </w:t>
      </w:r>
      <w:r w:rsidRPr="00173A41">
        <w:rPr>
          <w:rFonts w:cs="Arial"/>
        </w:rPr>
        <w:t>City Executive Board with the proposed direction of travel for the Council’s ICT function</w:t>
      </w:r>
      <w:r w:rsidR="007B7E94">
        <w:rPr>
          <w:rFonts w:cs="Arial"/>
        </w:rPr>
        <w:t>. The strategy</w:t>
      </w:r>
      <w:r w:rsidRPr="00173A41">
        <w:rPr>
          <w:rFonts w:cs="Arial"/>
        </w:rPr>
        <w:t xml:space="preserve"> highlights the key areas of </w:t>
      </w:r>
      <w:r w:rsidR="00F9486E">
        <w:rPr>
          <w:rFonts w:cs="Arial"/>
        </w:rPr>
        <w:t xml:space="preserve">work for </w:t>
      </w:r>
      <w:r w:rsidRPr="00173A41">
        <w:rPr>
          <w:rFonts w:cs="Arial"/>
        </w:rPr>
        <w:t xml:space="preserve">ICT </w:t>
      </w:r>
      <w:r w:rsidR="00F9486E">
        <w:rPr>
          <w:rFonts w:cs="Arial"/>
        </w:rPr>
        <w:t xml:space="preserve">to ensure our infrastructure and </w:t>
      </w:r>
      <w:r w:rsidR="007B7E94">
        <w:rPr>
          <w:rFonts w:cs="Arial"/>
        </w:rPr>
        <w:t xml:space="preserve">ICT capability can deliver </w:t>
      </w:r>
      <w:r w:rsidR="00F9486E">
        <w:rPr>
          <w:rFonts w:cs="Arial"/>
        </w:rPr>
        <w:t>the</w:t>
      </w:r>
      <w:r w:rsidR="007B7E94">
        <w:rPr>
          <w:rFonts w:cs="Arial"/>
        </w:rPr>
        <w:t xml:space="preserve"> Council’s</w:t>
      </w:r>
      <w:r w:rsidR="00F9486E">
        <w:rPr>
          <w:rFonts w:cs="Arial"/>
        </w:rPr>
        <w:t xml:space="preserve"> </w:t>
      </w:r>
      <w:r w:rsidR="007B7E94">
        <w:rPr>
          <w:rFonts w:cs="Arial"/>
        </w:rPr>
        <w:t>future requirements</w:t>
      </w:r>
      <w:r w:rsidRPr="00173A41">
        <w:rPr>
          <w:rFonts w:cs="Arial"/>
        </w:rPr>
        <w:t xml:space="preserve"> </w:t>
      </w:r>
      <w:r w:rsidR="000A139F">
        <w:rPr>
          <w:rFonts w:cs="Arial"/>
        </w:rPr>
        <w:t>to support</w:t>
      </w:r>
      <w:r w:rsidRPr="00173A41">
        <w:rPr>
          <w:rFonts w:cs="Arial"/>
        </w:rPr>
        <w:t xml:space="preserve"> effective and efficient Council services.</w:t>
      </w:r>
    </w:p>
    <w:p w:rsidR="00173A41" w:rsidRDefault="00173A41">
      <w:pPr>
        <w:rPr>
          <w:rFonts w:cs="Arial"/>
          <w:b/>
        </w:rPr>
      </w:pPr>
    </w:p>
    <w:p w:rsidR="00173A41" w:rsidRDefault="00173A41" w:rsidP="00965670">
      <w:pPr>
        <w:pStyle w:val="ListParagraph"/>
        <w:numPr>
          <w:ilvl w:val="0"/>
          <w:numId w:val="4"/>
        </w:numPr>
        <w:ind w:left="567" w:hanging="567"/>
        <w:rPr>
          <w:rFonts w:cs="Arial"/>
          <w:b/>
        </w:rPr>
      </w:pPr>
      <w:r w:rsidRPr="00965670">
        <w:rPr>
          <w:rFonts w:cs="Arial"/>
          <w:b/>
        </w:rPr>
        <w:t>Background</w:t>
      </w:r>
    </w:p>
    <w:p w:rsidR="000E3983" w:rsidRPr="000E3983" w:rsidRDefault="000E3983" w:rsidP="000E3983">
      <w:pPr>
        <w:rPr>
          <w:rFonts w:cs="Arial"/>
          <w:b/>
        </w:rPr>
      </w:pPr>
    </w:p>
    <w:p w:rsidR="000A139F" w:rsidRDefault="000A139F" w:rsidP="00965670">
      <w:pPr>
        <w:ind w:firstLine="567"/>
        <w:rPr>
          <w:rFonts w:cs="Arial"/>
        </w:rPr>
      </w:pPr>
      <w:r w:rsidRPr="000A139F">
        <w:rPr>
          <w:rFonts w:cs="Arial"/>
        </w:rPr>
        <w:t>The Council’s current ICT strategy</w:t>
      </w:r>
      <w:r>
        <w:rPr>
          <w:rFonts w:cs="Arial"/>
        </w:rPr>
        <w:t xml:space="preserve"> is based on four key themes; </w:t>
      </w:r>
    </w:p>
    <w:p w:rsidR="000A139F" w:rsidRDefault="00C71C85" w:rsidP="000A139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lastRenderedPageBreak/>
        <w:t>Establishing a new corporate ICT service</w:t>
      </w:r>
    </w:p>
    <w:p w:rsidR="000A139F" w:rsidRDefault="000A139F" w:rsidP="000A139F">
      <w:pPr>
        <w:pStyle w:val="ListParagraph"/>
        <w:numPr>
          <w:ilvl w:val="0"/>
          <w:numId w:val="2"/>
        </w:numPr>
        <w:rPr>
          <w:rFonts w:cs="Arial"/>
        </w:rPr>
      </w:pPr>
      <w:r w:rsidRPr="000A139F">
        <w:rPr>
          <w:rFonts w:cs="Arial"/>
        </w:rPr>
        <w:t>Citizen access</w:t>
      </w:r>
    </w:p>
    <w:p w:rsidR="000A139F" w:rsidRDefault="000A139F" w:rsidP="000A139F">
      <w:pPr>
        <w:pStyle w:val="ListParagraph"/>
        <w:numPr>
          <w:ilvl w:val="0"/>
          <w:numId w:val="2"/>
        </w:numPr>
        <w:rPr>
          <w:rFonts w:cs="Arial"/>
        </w:rPr>
      </w:pPr>
      <w:r w:rsidRPr="000A139F">
        <w:rPr>
          <w:rFonts w:cs="Arial"/>
        </w:rPr>
        <w:t>New ways of working</w:t>
      </w:r>
    </w:p>
    <w:p w:rsidR="000A139F" w:rsidRPr="000A139F" w:rsidRDefault="000A139F" w:rsidP="000A139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Preparation for new technology options – cloud computing</w:t>
      </w:r>
      <w:r w:rsidRPr="000A139F">
        <w:rPr>
          <w:rFonts w:cs="Arial"/>
        </w:rPr>
        <w:t xml:space="preserve"> </w:t>
      </w:r>
    </w:p>
    <w:p w:rsidR="00C71C85" w:rsidRDefault="00C71C85" w:rsidP="00C71C85">
      <w:pPr>
        <w:rPr>
          <w:rFonts w:cs="Arial"/>
        </w:rPr>
      </w:pPr>
    </w:p>
    <w:p w:rsidR="000A139F" w:rsidRDefault="00C71C85" w:rsidP="00965670">
      <w:pPr>
        <w:ind w:left="567"/>
        <w:rPr>
          <w:rFonts w:cs="Arial"/>
        </w:rPr>
      </w:pPr>
      <w:r>
        <w:rPr>
          <w:rFonts w:cs="Arial"/>
        </w:rPr>
        <w:t xml:space="preserve">The existing strategy is now out of date and the ICT service has delivered the work plan set out in the strategy. </w:t>
      </w:r>
    </w:p>
    <w:p w:rsidR="00C71C85" w:rsidRPr="00C71C85" w:rsidRDefault="00C71C85" w:rsidP="00C71C85">
      <w:pPr>
        <w:rPr>
          <w:rFonts w:cs="Arial"/>
          <w:b/>
        </w:rPr>
      </w:pPr>
    </w:p>
    <w:p w:rsidR="00C71C85" w:rsidRDefault="00C71C85" w:rsidP="00DC7083">
      <w:pPr>
        <w:pStyle w:val="ListParagraph"/>
        <w:numPr>
          <w:ilvl w:val="0"/>
          <w:numId w:val="4"/>
        </w:numPr>
        <w:ind w:left="567" w:hanging="567"/>
        <w:rPr>
          <w:rFonts w:cs="Arial"/>
          <w:b/>
        </w:rPr>
      </w:pPr>
      <w:r w:rsidRPr="00965670">
        <w:rPr>
          <w:rFonts w:cs="Arial"/>
          <w:b/>
        </w:rPr>
        <w:t>ICT Strategy</w:t>
      </w:r>
      <w:r w:rsidR="00B3742B" w:rsidRPr="00965670">
        <w:rPr>
          <w:rFonts w:cs="Arial"/>
          <w:b/>
        </w:rPr>
        <w:t xml:space="preserve"> 2015</w:t>
      </w:r>
      <w:r w:rsidR="000E3983">
        <w:rPr>
          <w:rFonts w:cs="Arial"/>
          <w:b/>
        </w:rPr>
        <w:t xml:space="preserve"> –</w:t>
      </w:r>
      <w:r w:rsidR="00B3742B" w:rsidRPr="00965670">
        <w:rPr>
          <w:rFonts w:cs="Arial"/>
          <w:b/>
        </w:rPr>
        <w:t xml:space="preserve"> 2018</w:t>
      </w:r>
    </w:p>
    <w:p w:rsidR="000E3983" w:rsidRPr="000E3983" w:rsidRDefault="000E3983" w:rsidP="000E3983">
      <w:pPr>
        <w:rPr>
          <w:rFonts w:cs="Arial"/>
          <w:b/>
        </w:rPr>
      </w:pPr>
    </w:p>
    <w:p w:rsidR="00B3742B" w:rsidRPr="00B3742B" w:rsidRDefault="00B3742B" w:rsidP="00DC7083">
      <w:pPr>
        <w:ind w:left="567"/>
        <w:rPr>
          <w:rFonts w:cs="Arial"/>
        </w:rPr>
      </w:pPr>
      <w:r w:rsidRPr="00B3742B">
        <w:rPr>
          <w:rFonts w:cs="Arial"/>
        </w:rPr>
        <w:t>The new strategy takes these themes to the next level of implementation.</w:t>
      </w:r>
    </w:p>
    <w:p w:rsidR="00B3742B" w:rsidRDefault="00B3742B" w:rsidP="000E3983">
      <w:pPr>
        <w:ind w:firstLine="567"/>
        <w:rPr>
          <w:rFonts w:cs="Arial"/>
        </w:rPr>
      </w:pPr>
      <w:r w:rsidRPr="00B3742B">
        <w:rPr>
          <w:rFonts w:cs="Arial"/>
        </w:rPr>
        <w:t>The roadmap</w:t>
      </w:r>
      <w:r>
        <w:rPr>
          <w:rFonts w:cs="Arial"/>
        </w:rPr>
        <w:t xml:space="preserve"> in the new strategy focuses on</w:t>
      </w:r>
    </w:p>
    <w:p w:rsidR="00B3742B" w:rsidRDefault="00B3742B" w:rsidP="000E3983">
      <w:pPr>
        <w:pStyle w:val="ListParagraph"/>
        <w:numPr>
          <w:ilvl w:val="0"/>
          <w:numId w:val="3"/>
        </w:numPr>
        <w:ind w:left="993" w:hanging="426"/>
        <w:rPr>
          <w:rFonts w:cs="Arial"/>
        </w:rPr>
      </w:pPr>
      <w:r>
        <w:rPr>
          <w:rFonts w:cs="Arial"/>
        </w:rPr>
        <w:t>Rationalisation of our core applications and exploiting their use</w:t>
      </w:r>
    </w:p>
    <w:p w:rsidR="00B3742B" w:rsidRDefault="00B3742B" w:rsidP="000E3983">
      <w:pPr>
        <w:pStyle w:val="ListParagraph"/>
        <w:numPr>
          <w:ilvl w:val="0"/>
          <w:numId w:val="3"/>
        </w:numPr>
        <w:ind w:left="993" w:hanging="426"/>
        <w:rPr>
          <w:rFonts w:cs="Arial"/>
        </w:rPr>
      </w:pPr>
      <w:r>
        <w:rPr>
          <w:rFonts w:cs="Arial"/>
        </w:rPr>
        <w:t>End to end customer focused technical solutions to improve the customer experience and deliver savings</w:t>
      </w:r>
    </w:p>
    <w:p w:rsidR="00A325AC" w:rsidRDefault="00B3742B" w:rsidP="000E3983">
      <w:pPr>
        <w:pStyle w:val="ListParagraph"/>
        <w:numPr>
          <w:ilvl w:val="0"/>
          <w:numId w:val="3"/>
        </w:numPr>
        <w:ind w:left="993" w:hanging="426"/>
        <w:rPr>
          <w:rFonts w:cs="Arial"/>
        </w:rPr>
      </w:pPr>
      <w:r>
        <w:rPr>
          <w:rFonts w:cs="Arial"/>
        </w:rPr>
        <w:t xml:space="preserve">Roll out of mobile working solutions to meet business need </w:t>
      </w:r>
      <w:r w:rsidR="00A325AC">
        <w:rPr>
          <w:rFonts w:cs="Arial"/>
        </w:rPr>
        <w:t>together with a refresh of</w:t>
      </w:r>
      <w:r>
        <w:rPr>
          <w:rFonts w:cs="Arial"/>
        </w:rPr>
        <w:t xml:space="preserve"> flexible user devices</w:t>
      </w:r>
      <w:r w:rsidR="00A325AC">
        <w:rPr>
          <w:rFonts w:cs="Arial"/>
        </w:rPr>
        <w:t xml:space="preserve"> to mee</w:t>
      </w:r>
      <w:r>
        <w:rPr>
          <w:rFonts w:cs="Arial"/>
        </w:rPr>
        <w:t>t</w:t>
      </w:r>
      <w:r w:rsidR="00A325AC">
        <w:rPr>
          <w:rFonts w:cs="Arial"/>
        </w:rPr>
        <w:t xml:space="preserve"> changing business needs</w:t>
      </w:r>
    </w:p>
    <w:p w:rsidR="00A325AC" w:rsidRDefault="00A325AC" w:rsidP="000E3983">
      <w:pPr>
        <w:pStyle w:val="ListParagraph"/>
        <w:numPr>
          <w:ilvl w:val="0"/>
          <w:numId w:val="3"/>
        </w:numPr>
        <w:ind w:left="993" w:hanging="426"/>
        <w:rPr>
          <w:rFonts w:cs="Arial"/>
        </w:rPr>
      </w:pPr>
      <w:r>
        <w:rPr>
          <w:rFonts w:cs="Arial"/>
        </w:rPr>
        <w:t>Implementation of a converged telephony solution</w:t>
      </w:r>
    </w:p>
    <w:p w:rsidR="00B3742B" w:rsidRDefault="00A325AC" w:rsidP="000E3983">
      <w:pPr>
        <w:pStyle w:val="ListParagraph"/>
        <w:numPr>
          <w:ilvl w:val="0"/>
          <w:numId w:val="3"/>
        </w:numPr>
        <w:ind w:left="993" w:hanging="426"/>
        <w:rPr>
          <w:rFonts w:cs="Arial"/>
        </w:rPr>
      </w:pPr>
      <w:r>
        <w:rPr>
          <w:rFonts w:cs="Arial"/>
        </w:rPr>
        <w:t xml:space="preserve">Replacement and development of a new ICT Infrastructure partner(s) </w:t>
      </w:r>
      <w:r w:rsidR="00B3742B">
        <w:rPr>
          <w:rFonts w:cs="Arial"/>
        </w:rPr>
        <w:t xml:space="preserve">  </w:t>
      </w:r>
    </w:p>
    <w:p w:rsidR="006A4194" w:rsidRDefault="006A4194" w:rsidP="006A4194">
      <w:pPr>
        <w:ind w:left="494"/>
        <w:rPr>
          <w:rFonts w:cs="Arial"/>
        </w:rPr>
      </w:pPr>
    </w:p>
    <w:p w:rsidR="006A4194" w:rsidRDefault="006A4194" w:rsidP="006A4194">
      <w:pPr>
        <w:ind w:left="494"/>
        <w:rPr>
          <w:rFonts w:cs="Arial"/>
        </w:rPr>
      </w:pPr>
      <w:r>
        <w:rPr>
          <w:rFonts w:cs="Arial"/>
        </w:rPr>
        <w:t>The strategy sets out a number of ICT Principles to be used to guide and direct ICT investment and development decisions.</w:t>
      </w:r>
    </w:p>
    <w:p w:rsidR="006A4194" w:rsidRDefault="006A4194" w:rsidP="006A4194">
      <w:pPr>
        <w:ind w:left="494"/>
        <w:rPr>
          <w:rFonts w:cs="Arial"/>
        </w:rPr>
      </w:pPr>
    </w:p>
    <w:p w:rsidR="006A4194" w:rsidRDefault="006A4194" w:rsidP="006A4194">
      <w:pPr>
        <w:ind w:left="494"/>
        <w:rPr>
          <w:rFonts w:cs="Arial"/>
        </w:rPr>
      </w:pPr>
      <w:r>
        <w:rPr>
          <w:rFonts w:cs="Arial"/>
        </w:rPr>
        <w:t>Th</w:t>
      </w:r>
      <w:r w:rsidR="00F51323">
        <w:rPr>
          <w:rFonts w:cs="Arial"/>
        </w:rPr>
        <w:t>e ICT Strategy</w:t>
      </w:r>
      <w:r>
        <w:rPr>
          <w:rFonts w:cs="Arial"/>
        </w:rPr>
        <w:t xml:space="preserve"> </w:t>
      </w:r>
      <w:r w:rsidR="00F51323">
        <w:rPr>
          <w:rFonts w:cs="Arial"/>
        </w:rPr>
        <w:t xml:space="preserve">also includes </w:t>
      </w:r>
      <w:r>
        <w:rPr>
          <w:rFonts w:cs="Arial"/>
        </w:rPr>
        <w:t>a number of underpinning strategies –</w:t>
      </w:r>
    </w:p>
    <w:p w:rsidR="006A4194" w:rsidRDefault="006A4194" w:rsidP="000E3983">
      <w:pPr>
        <w:pStyle w:val="ListParagraph"/>
        <w:numPr>
          <w:ilvl w:val="0"/>
          <w:numId w:val="5"/>
        </w:numPr>
        <w:ind w:left="993" w:hanging="426"/>
        <w:rPr>
          <w:rFonts w:cs="Arial"/>
        </w:rPr>
      </w:pPr>
      <w:r>
        <w:rPr>
          <w:rFonts w:cs="Arial"/>
        </w:rPr>
        <w:t>Information Management Strategy</w:t>
      </w:r>
    </w:p>
    <w:p w:rsidR="006A4194" w:rsidRDefault="00F51323" w:rsidP="000E3983">
      <w:pPr>
        <w:pStyle w:val="ListParagraph"/>
        <w:numPr>
          <w:ilvl w:val="0"/>
          <w:numId w:val="5"/>
        </w:numPr>
        <w:ind w:left="993" w:hanging="426"/>
        <w:rPr>
          <w:rFonts w:cs="Arial"/>
        </w:rPr>
      </w:pPr>
      <w:r>
        <w:rPr>
          <w:rFonts w:cs="Arial"/>
        </w:rPr>
        <w:t>ICT Security Strategy</w:t>
      </w:r>
    </w:p>
    <w:p w:rsidR="00F51323" w:rsidRPr="006A4194" w:rsidRDefault="00F51323" w:rsidP="000E3983">
      <w:pPr>
        <w:pStyle w:val="ListParagraph"/>
        <w:numPr>
          <w:ilvl w:val="0"/>
          <w:numId w:val="5"/>
        </w:numPr>
        <w:ind w:left="993" w:hanging="426"/>
        <w:rPr>
          <w:rFonts w:cs="Arial"/>
        </w:rPr>
      </w:pPr>
      <w:r>
        <w:rPr>
          <w:rFonts w:cs="Arial"/>
        </w:rPr>
        <w:t>Digital Strategy</w:t>
      </w:r>
    </w:p>
    <w:p w:rsidR="000A139F" w:rsidRDefault="000A139F">
      <w:pPr>
        <w:rPr>
          <w:rFonts w:cs="Arial"/>
          <w:b/>
        </w:rPr>
      </w:pPr>
    </w:p>
    <w:p w:rsidR="007B6E54" w:rsidRDefault="007B6E54" w:rsidP="00DC7083">
      <w:pPr>
        <w:pStyle w:val="ListParagraph"/>
        <w:numPr>
          <w:ilvl w:val="0"/>
          <w:numId w:val="4"/>
        </w:numPr>
        <w:ind w:left="567" w:hanging="567"/>
        <w:rPr>
          <w:rFonts w:cs="Arial"/>
          <w:b/>
        </w:rPr>
      </w:pPr>
      <w:r w:rsidRPr="00DC7083">
        <w:rPr>
          <w:rFonts w:cs="Arial"/>
          <w:b/>
        </w:rPr>
        <w:t>Legal Issues</w:t>
      </w:r>
    </w:p>
    <w:p w:rsidR="000E3983" w:rsidRPr="000E3983" w:rsidRDefault="000E3983" w:rsidP="000E3983">
      <w:pPr>
        <w:rPr>
          <w:rFonts w:cs="Arial"/>
          <w:b/>
        </w:rPr>
      </w:pPr>
    </w:p>
    <w:p w:rsidR="00C71C85" w:rsidRDefault="00C71C85" w:rsidP="00DC7083">
      <w:pPr>
        <w:ind w:left="567"/>
        <w:rPr>
          <w:rFonts w:cs="Arial"/>
        </w:rPr>
      </w:pPr>
      <w:r w:rsidRPr="00C71C85">
        <w:rPr>
          <w:rFonts w:cs="Arial"/>
        </w:rPr>
        <w:t xml:space="preserve">There are no known legal issues. The procurement of a new infrastructure supplier is being carried out in accordance with the Public Procurement Regulations 2015. </w:t>
      </w:r>
    </w:p>
    <w:p w:rsidR="00DC7083" w:rsidRPr="00C71C85" w:rsidRDefault="00DC7083" w:rsidP="00DC7083">
      <w:pPr>
        <w:ind w:left="567"/>
        <w:rPr>
          <w:rFonts w:cs="Arial"/>
        </w:rPr>
      </w:pPr>
    </w:p>
    <w:p w:rsidR="00C71C85" w:rsidRPr="00C71C85" w:rsidRDefault="00C71C85" w:rsidP="00DC7083">
      <w:pPr>
        <w:ind w:left="567"/>
        <w:rPr>
          <w:rFonts w:cs="Arial"/>
        </w:rPr>
      </w:pPr>
      <w:r w:rsidRPr="00C71C85">
        <w:rPr>
          <w:rFonts w:cs="Arial"/>
        </w:rPr>
        <w:t xml:space="preserve">The current partnership agreement with the County Council comes to a natural end in March 2016. </w:t>
      </w:r>
    </w:p>
    <w:p w:rsidR="007B6E54" w:rsidRDefault="007B6E54">
      <w:pPr>
        <w:rPr>
          <w:rFonts w:cs="Arial"/>
          <w:i/>
        </w:rPr>
      </w:pPr>
    </w:p>
    <w:p w:rsidR="007B6E54" w:rsidRDefault="007B6E54" w:rsidP="00DC7083">
      <w:pPr>
        <w:pStyle w:val="ListParagraph"/>
        <w:numPr>
          <w:ilvl w:val="0"/>
          <w:numId w:val="4"/>
        </w:numPr>
        <w:ind w:left="567" w:hanging="567"/>
        <w:rPr>
          <w:rFonts w:cs="Arial"/>
          <w:b/>
        </w:rPr>
      </w:pPr>
      <w:r w:rsidRPr="00DC7083">
        <w:rPr>
          <w:rFonts w:cs="Arial"/>
          <w:b/>
        </w:rPr>
        <w:t>Financial Issues</w:t>
      </w:r>
    </w:p>
    <w:p w:rsidR="000E3983" w:rsidRPr="000E3983" w:rsidRDefault="000E3983" w:rsidP="000E3983">
      <w:pPr>
        <w:rPr>
          <w:rFonts w:cs="Arial"/>
          <w:b/>
        </w:rPr>
      </w:pPr>
    </w:p>
    <w:p w:rsidR="00C71C85" w:rsidRDefault="00C71C85" w:rsidP="00DC7083">
      <w:pPr>
        <w:ind w:left="567"/>
        <w:rPr>
          <w:rFonts w:cs="Arial"/>
        </w:rPr>
      </w:pPr>
      <w:r w:rsidRPr="00C71C85">
        <w:rPr>
          <w:rFonts w:cs="Arial"/>
        </w:rPr>
        <w:t>The delivery of the strategy will be managed within existing budgets and agreed funding for specific projects.</w:t>
      </w:r>
      <w:r w:rsidR="00FB23A2">
        <w:rPr>
          <w:rFonts w:cs="Arial"/>
        </w:rPr>
        <w:t xml:space="preserve">  This excludes the funding for sub projects with the Application Rationalisation project which will be subject to individual business cases and bids for funding where appropriate.</w:t>
      </w:r>
    </w:p>
    <w:p w:rsidR="00F51323" w:rsidRDefault="00F51323" w:rsidP="00DC7083">
      <w:pPr>
        <w:ind w:left="567"/>
        <w:rPr>
          <w:rFonts w:cs="Arial"/>
        </w:rPr>
      </w:pPr>
    </w:p>
    <w:p w:rsidR="00F51323" w:rsidRPr="00C71C85" w:rsidRDefault="00F51323" w:rsidP="00DC7083">
      <w:pPr>
        <w:ind w:left="567"/>
        <w:rPr>
          <w:rFonts w:cs="Arial"/>
        </w:rPr>
      </w:pPr>
      <w:r>
        <w:rPr>
          <w:rFonts w:cs="Arial"/>
        </w:rPr>
        <w:t xml:space="preserve">The ICT Strategy has been formulated to ensure that the savings agreed in the MTFS are delivered. </w:t>
      </w:r>
    </w:p>
    <w:p w:rsidR="007B6E54" w:rsidRDefault="007B6E54">
      <w:pPr>
        <w:rPr>
          <w:rFonts w:cs="Arial"/>
          <w:b/>
        </w:rPr>
      </w:pPr>
    </w:p>
    <w:p w:rsidR="007B6E54" w:rsidRDefault="007B6E54" w:rsidP="00DC7083">
      <w:pPr>
        <w:pStyle w:val="ListParagraph"/>
        <w:numPr>
          <w:ilvl w:val="0"/>
          <w:numId w:val="4"/>
        </w:numPr>
        <w:ind w:left="567" w:hanging="567"/>
        <w:rPr>
          <w:rFonts w:cs="Arial"/>
          <w:b/>
        </w:rPr>
      </w:pPr>
      <w:r w:rsidRPr="00DC7083">
        <w:rPr>
          <w:rFonts w:cs="Arial"/>
          <w:b/>
        </w:rPr>
        <w:t>Environmental Impact</w:t>
      </w:r>
    </w:p>
    <w:p w:rsidR="000E3983" w:rsidRPr="000E3983" w:rsidRDefault="000E3983" w:rsidP="000E3983">
      <w:pPr>
        <w:rPr>
          <w:rFonts w:cs="Arial"/>
          <w:b/>
        </w:rPr>
      </w:pPr>
    </w:p>
    <w:p w:rsidR="00C71C85" w:rsidRPr="00C71C85" w:rsidRDefault="00C71C85" w:rsidP="00DC7083">
      <w:pPr>
        <w:ind w:left="567"/>
        <w:rPr>
          <w:rFonts w:cs="Arial"/>
        </w:rPr>
      </w:pPr>
      <w:r w:rsidRPr="00C71C85">
        <w:rPr>
          <w:rFonts w:cs="Arial"/>
        </w:rPr>
        <w:t xml:space="preserve">There are no specific environmental impacts however the increase in capability to work in a more mobile and flexible way will reduce the Council’s carbon </w:t>
      </w:r>
      <w:r>
        <w:rPr>
          <w:rFonts w:cs="Arial"/>
        </w:rPr>
        <w:t>footprint</w:t>
      </w:r>
      <w:r w:rsidRPr="00C71C85">
        <w:rPr>
          <w:rFonts w:cs="Arial"/>
        </w:rPr>
        <w:t>.</w:t>
      </w:r>
    </w:p>
    <w:p w:rsidR="007B6E54" w:rsidRDefault="007B6E54">
      <w:pPr>
        <w:rPr>
          <w:rFonts w:cs="Arial"/>
          <w:b/>
        </w:rPr>
      </w:pPr>
    </w:p>
    <w:tbl>
      <w:tblPr>
        <w:tblW w:w="8110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10"/>
      </w:tblGrid>
      <w:tr w:rsidR="00713675" w:rsidTr="00DC7083">
        <w:tc>
          <w:tcPr>
            <w:tcW w:w="8110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713675" w:rsidTr="00DC7083">
        <w:tc>
          <w:tcPr>
            <w:tcW w:w="8110" w:type="dxa"/>
          </w:tcPr>
          <w:p w:rsidR="00713675" w:rsidRDefault="00A325AC" w:rsidP="00A325A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Paul Fleming</w:t>
            </w:r>
          </w:p>
        </w:tc>
      </w:tr>
      <w:tr w:rsidR="00713675" w:rsidTr="00DC7083">
        <w:tc>
          <w:tcPr>
            <w:tcW w:w="8110" w:type="dxa"/>
          </w:tcPr>
          <w:p w:rsidR="00713675" w:rsidRDefault="00A325AC" w:rsidP="00A325A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Chief Technology Manager</w:t>
            </w:r>
          </w:p>
        </w:tc>
      </w:tr>
      <w:tr w:rsidR="00713675" w:rsidTr="00DC7083">
        <w:tc>
          <w:tcPr>
            <w:tcW w:w="8110" w:type="dxa"/>
          </w:tcPr>
          <w:p w:rsidR="00713675" w:rsidRDefault="00A325AC" w:rsidP="00A325A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Business Improvement and Technology</w:t>
            </w:r>
          </w:p>
        </w:tc>
      </w:tr>
      <w:tr w:rsidR="00713675" w:rsidTr="00DC7083">
        <w:tc>
          <w:tcPr>
            <w:tcW w:w="8110" w:type="dxa"/>
          </w:tcPr>
          <w:p w:rsidR="00713675" w:rsidRDefault="006A4194" w:rsidP="00A325A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>Tel:  01865 252220</w:t>
            </w:r>
            <w:r w:rsidR="00713675">
              <w:t xml:space="preserve">  e-mail:  </w:t>
            </w:r>
            <w:r w:rsidR="00A325AC">
              <w:t>pfleming@oxford.gov.uk</w:t>
            </w:r>
          </w:p>
        </w:tc>
      </w:tr>
    </w:tbl>
    <w:p w:rsidR="00F4367A" w:rsidRDefault="00F4367A">
      <w:pPr>
        <w:rPr>
          <w:rFonts w:cs="Arial"/>
          <w:b/>
          <w:bCs/>
          <w:sz w:val="20"/>
        </w:rPr>
      </w:pPr>
    </w:p>
    <w:sectPr w:rsidR="00F4367A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AC" w:rsidRDefault="00B778AC">
      <w:r>
        <w:separator/>
      </w:r>
    </w:p>
  </w:endnote>
  <w:endnote w:type="continuationSeparator" w:id="0">
    <w:p w:rsidR="00B778AC" w:rsidRDefault="00B7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AC" w:rsidRDefault="00B778AC">
      <w:r>
        <w:separator/>
      </w:r>
    </w:p>
  </w:footnote>
  <w:footnote w:type="continuationSeparator" w:id="0">
    <w:p w:rsidR="00B778AC" w:rsidRDefault="00B7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DDB"/>
    <w:multiLevelType w:val="hybridMultilevel"/>
    <w:tmpl w:val="2354AD8E"/>
    <w:lvl w:ilvl="0" w:tplc="08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>
    <w:nsid w:val="152E4835"/>
    <w:multiLevelType w:val="hybridMultilevel"/>
    <w:tmpl w:val="A880D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1D18"/>
    <w:multiLevelType w:val="hybridMultilevel"/>
    <w:tmpl w:val="D736F2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012813"/>
    <w:multiLevelType w:val="hybridMultilevel"/>
    <w:tmpl w:val="2B0CF810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56263"/>
    <w:rsid w:val="000A139F"/>
    <w:rsid w:val="000B07B3"/>
    <w:rsid w:val="000C3928"/>
    <w:rsid w:val="000E3983"/>
    <w:rsid w:val="000F5722"/>
    <w:rsid w:val="00173A41"/>
    <w:rsid w:val="003B6C0F"/>
    <w:rsid w:val="004137C5"/>
    <w:rsid w:val="00457E1F"/>
    <w:rsid w:val="00465EAF"/>
    <w:rsid w:val="0052634D"/>
    <w:rsid w:val="00623C2F"/>
    <w:rsid w:val="006A4194"/>
    <w:rsid w:val="006E3B55"/>
    <w:rsid w:val="006F416B"/>
    <w:rsid w:val="00713675"/>
    <w:rsid w:val="007B6E54"/>
    <w:rsid w:val="007B7E94"/>
    <w:rsid w:val="00854774"/>
    <w:rsid w:val="00855C66"/>
    <w:rsid w:val="008D3DDB"/>
    <w:rsid w:val="00965670"/>
    <w:rsid w:val="00971689"/>
    <w:rsid w:val="00973E90"/>
    <w:rsid w:val="00A325AC"/>
    <w:rsid w:val="00A92D8F"/>
    <w:rsid w:val="00AD3292"/>
    <w:rsid w:val="00AE5AB8"/>
    <w:rsid w:val="00B3742B"/>
    <w:rsid w:val="00B778AC"/>
    <w:rsid w:val="00B8612A"/>
    <w:rsid w:val="00B91FBC"/>
    <w:rsid w:val="00C2692F"/>
    <w:rsid w:val="00C71C85"/>
    <w:rsid w:val="00CC3662"/>
    <w:rsid w:val="00D078B8"/>
    <w:rsid w:val="00DB7EC9"/>
    <w:rsid w:val="00DC7083"/>
    <w:rsid w:val="00E01F42"/>
    <w:rsid w:val="00EA0DB1"/>
    <w:rsid w:val="00EA2FDD"/>
    <w:rsid w:val="00F24A5D"/>
    <w:rsid w:val="00F4367A"/>
    <w:rsid w:val="00F51323"/>
    <w:rsid w:val="00F7606D"/>
    <w:rsid w:val="00F9486E"/>
    <w:rsid w:val="00FA624C"/>
    <w:rsid w:val="00FB23A2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7A5E291E</Template>
  <TotalTime>20</TotalTime>
  <Pages>3</Pages>
  <Words>470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Phythian, Catherine - Oxford City Council</cp:lastModifiedBy>
  <cp:revision>8</cp:revision>
  <cp:lastPrinted>2010-10-15T09:32:00Z</cp:lastPrinted>
  <dcterms:created xsi:type="dcterms:W3CDTF">2015-04-29T14:37:00Z</dcterms:created>
  <dcterms:modified xsi:type="dcterms:W3CDTF">2015-06-03T15:00:00Z</dcterms:modified>
</cp:coreProperties>
</file>